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709CE" w14:textId="77777777" w:rsidR="007E145C" w:rsidRDefault="00612C24">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Framework Schedule 3 (Framework Prices)</w:t>
      </w:r>
    </w:p>
    <w:p w14:paraId="286709CF" w14:textId="77777777" w:rsidR="007E145C" w:rsidRDefault="00612C24">
      <w:pPr>
        <w:numPr>
          <w:ilvl w:val="0"/>
          <w:numId w:val="1"/>
        </w:numPr>
        <w:pBdr>
          <w:top w:val="nil"/>
          <w:left w:val="nil"/>
          <w:bottom w:val="nil"/>
          <w:right w:val="nil"/>
          <w:between w:val="nil"/>
        </w:pBdr>
        <w:tabs>
          <w:tab w:val="left" w:pos="142"/>
        </w:tabs>
        <w:spacing w:before="120" w:after="240" w:line="240" w:lineRule="auto"/>
        <w:jc w:val="both"/>
      </w:pPr>
      <w:bookmarkStart w:id="1" w:name="_heading=h.30j0zll" w:colFirst="0" w:colLast="0"/>
      <w:bookmarkEnd w:id="1"/>
      <w:r>
        <w:rPr>
          <w:rFonts w:ascii="Arial" w:eastAsia="Arial" w:hAnsi="Arial" w:cs="Arial"/>
          <w:b/>
          <w:color w:val="000000"/>
          <w:sz w:val="24"/>
          <w:szCs w:val="24"/>
        </w:rPr>
        <w:t>How Framework Prices are used to calculate Call-Off Charges</w:t>
      </w:r>
    </w:p>
    <w:p w14:paraId="286709D0" w14:textId="77777777" w:rsidR="007E145C" w:rsidRDefault="00612C24">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286709D1" w14:textId="77777777" w:rsidR="007E145C" w:rsidRDefault="00612C24">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14:paraId="286709D2" w14:textId="77777777" w:rsidR="007E145C" w:rsidRDefault="00612C24">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14:paraId="286709D3" w14:textId="77777777" w:rsidR="007E145C" w:rsidRDefault="00612C24">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286709D4" w14:textId="77777777" w:rsidR="007E145C" w:rsidRDefault="00612C24">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286709D5" w14:textId="77777777" w:rsidR="007E145C" w:rsidRDefault="00612C24">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Any variation to the Charges payable u</w:t>
      </w:r>
      <w:r>
        <w:rPr>
          <w:rFonts w:ascii="Arial" w:eastAsia="Arial" w:hAnsi="Arial" w:cs="Arial"/>
          <w:color w:val="000000"/>
          <w:sz w:val="24"/>
          <w:szCs w:val="24"/>
        </w:rPr>
        <w:t>nder a Call Off Contract must be agreed between the Supplier and the Buyer and implemented using the same procedure for altering Framework Prices in accordance with the provisions of this Framework Schedule 3</w:t>
      </w:r>
    </w:p>
    <w:p w14:paraId="286709D6" w14:textId="77777777" w:rsidR="007E145C" w:rsidRDefault="00612C24">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286709D7" w14:textId="77777777" w:rsidR="007E145C" w:rsidRDefault="00612C24">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w:t>
      </w:r>
      <w:r>
        <w:rPr>
          <w:rFonts w:ascii="Arial" w:eastAsia="Arial" w:hAnsi="Arial" w:cs="Arial"/>
          <w:color w:val="000000"/>
          <w:sz w:val="24"/>
          <w:szCs w:val="24"/>
        </w:rPr>
        <w:t xml:space="preserve"> mechanisms and prices set out in Annex 1 shall be available for use in calculation of Framework Prices in Call Off Contracts.</w:t>
      </w:r>
    </w:p>
    <w:p w14:paraId="286709D8" w14:textId="77777777" w:rsidR="007E145C" w:rsidRDefault="00612C24">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286709D9" w14:textId="77777777" w:rsidR="007E145C" w:rsidRDefault="00612C24">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first </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number]</w:t>
      </w:r>
      <w:r>
        <w:rPr>
          <w:rFonts w:ascii="Arial" w:eastAsia="Arial" w:hAnsi="Arial" w:cs="Arial"/>
          <w:color w:val="000000"/>
          <w:sz w:val="24"/>
          <w:szCs w:val="24"/>
        </w:rPr>
        <w:t xml:space="preserve">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286709DA" w14:textId="77777777" w:rsidR="007E145C" w:rsidRDefault="00612C24">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3" w:name="_heading=h.tyjcwt" w:colFirst="0" w:colLast="0"/>
      <w:bookmarkEnd w:id="3"/>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increase prior to th</w:t>
      </w:r>
      <w:r>
        <w:rPr>
          <w:rFonts w:ascii="Arial" w:eastAsia="Arial" w:hAnsi="Arial" w:cs="Arial"/>
          <w:color w:val="000000"/>
          <w:sz w:val="24"/>
          <w:szCs w:val="24"/>
        </w:rPr>
        <w:t>e next Review Date.</w:t>
      </w:r>
    </w:p>
    <w:p w14:paraId="286709DB" w14:textId="77777777" w:rsidR="007E145C" w:rsidRDefault="00612C24">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286709DC" w14:textId="77777777" w:rsidR="007E145C" w:rsidRDefault="00612C24">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286709DD" w14:textId="77777777" w:rsidR="007E145C" w:rsidRDefault="00612C24">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286709DE" w14:textId="77777777" w:rsidR="007E145C" w:rsidRDefault="00612C24">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sz w:val="20"/>
          <w:szCs w:val="20"/>
        </w:rPr>
        <w:t xml:space="preserve"> </w:t>
      </w:r>
      <w:r>
        <w:rPr>
          <w:rFonts w:ascii="Arial" w:eastAsia="Arial" w:hAnsi="Arial" w:cs="Arial"/>
          <w:sz w:val="24"/>
          <w:szCs w:val="24"/>
          <w:highlight w:val="white"/>
        </w:rPr>
        <w:t>CCS shall consider each request for a price increase.  CCS may grant Approval to an increase at its sole discretion.</w:t>
      </w:r>
    </w:p>
    <w:p w14:paraId="286709DF" w14:textId="77777777" w:rsidR="007E145C" w:rsidRDefault="00612C24">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sz w:val="24"/>
          <w:szCs w:val="24"/>
        </w:rPr>
        <w:t>Where</w:t>
      </w:r>
      <w:r>
        <w:rPr>
          <w:rFonts w:ascii="Arial" w:eastAsia="Arial" w:hAnsi="Arial" w:cs="Arial"/>
          <w:sz w:val="28"/>
          <w:szCs w:val="28"/>
          <w:highlight w:val="white"/>
        </w:rPr>
        <w:t xml:space="preserve"> </w:t>
      </w:r>
      <w:r>
        <w:rPr>
          <w:rFonts w:ascii="Arial" w:eastAsia="Arial" w:hAnsi="Arial" w:cs="Arial"/>
          <w:sz w:val="24"/>
          <w:szCs w:val="24"/>
          <w:highlight w:val="white"/>
        </w:rPr>
        <w:t>CCS approves an increase then it will be implemented from the first (1st) Working Day following the relevant Review Date or such late</w:t>
      </w:r>
      <w:r>
        <w:rPr>
          <w:rFonts w:ascii="Arial" w:eastAsia="Arial" w:hAnsi="Arial" w:cs="Arial"/>
          <w:sz w:val="24"/>
          <w:szCs w:val="24"/>
          <w:highlight w:val="white"/>
        </w:rPr>
        <w:t>r date as CCS may determine at its sole discretion and Annex 1 shall be updated accordingly.</w:t>
      </w:r>
      <w:r>
        <w:rPr>
          <w:rFonts w:ascii="Arial" w:eastAsia="Arial" w:hAnsi="Arial" w:cs="Arial"/>
          <w:sz w:val="20"/>
          <w:szCs w:val="20"/>
        </w:rPr>
        <w:t xml:space="preserve">    </w:t>
      </w:r>
    </w:p>
    <w:p w14:paraId="286709E0" w14:textId="77777777" w:rsidR="007E145C" w:rsidRDefault="007E145C">
      <w:pPr>
        <w:pBdr>
          <w:top w:val="nil"/>
          <w:left w:val="nil"/>
          <w:bottom w:val="nil"/>
          <w:right w:val="nil"/>
          <w:between w:val="nil"/>
        </w:pBdr>
        <w:tabs>
          <w:tab w:val="left" w:pos="1985"/>
          <w:tab w:val="left" w:pos="2127"/>
          <w:tab w:val="left" w:pos="1985"/>
          <w:tab w:val="left" w:pos="2552"/>
        </w:tabs>
        <w:spacing w:before="120" w:after="120" w:line="240" w:lineRule="auto"/>
        <w:rPr>
          <w:rFonts w:ascii="Arial" w:eastAsia="Arial" w:hAnsi="Arial" w:cs="Arial"/>
          <w:sz w:val="24"/>
          <w:szCs w:val="24"/>
          <w:highlight w:val="white"/>
        </w:rPr>
      </w:pPr>
      <w:bookmarkStart w:id="4" w:name="_GoBack"/>
      <w:bookmarkEnd w:id="4"/>
    </w:p>
    <w:p w14:paraId="286709E1" w14:textId="77777777" w:rsidR="007E145C" w:rsidRDefault="00612C24">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lastRenderedPageBreak/>
        <w:t>Other events that allow the Supplier to change the Framework Prices</w:t>
      </w:r>
    </w:p>
    <w:p w14:paraId="286709E2" w14:textId="77777777" w:rsidR="007E145C" w:rsidRDefault="00612C24">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286709E3" w14:textId="77777777" w:rsidR="007E145C" w:rsidRDefault="00612C24">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286709E4" w14:textId="77777777" w:rsidR="007E145C" w:rsidRDefault="00612C24">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286709E5" w14:textId="77777777" w:rsidR="007E145C" w:rsidRDefault="00612C24">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request from the Supplier, which it can make at any time, to decrease the Framework Prices; </w:t>
      </w:r>
    </w:p>
    <w:p w14:paraId="286709E6" w14:textId="77777777" w:rsidR="007E145C" w:rsidRDefault="007E145C">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14:paraId="286709E7" w14:textId="77777777" w:rsidR="007E145C" w:rsidRDefault="007E145C">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286709E8" w14:textId="77777777" w:rsidR="007E145C" w:rsidRDefault="00612C24">
      <w:pPr>
        <w:rPr>
          <w:rFonts w:ascii="Arial" w:eastAsia="Arial" w:hAnsi="Arial" w:cs="Arial"/>
          <w:b/>
          <w:sz w:val="36"/>
          <w:szCs w:val="36"/>
        </w:rPr>
      </w:pPr>
      <w:bookmarkStart w:id="5" w:name="_heading=h.1t3h5sf" w:colFirst="0" w:colLast="0"/>
      <w:bookmarkEnd w:id="5"/>
      <w:r>
        <w:br w:type="page"/>
      </w:r>
      <w:r>
        <w:rPr>
          <w:rFonts w:ascii="Arial" w:eastAsia="Arial" w:hAnsi="Arial" w:cs="Arial"/>
          <w:b/>
          <w:sz w:val="36"/>
          <w:szCs w:val="36"/>
        </w:rPr>
        <w:lastRenderedPageBreak/>
        <w:t>Annex 1: Rates and Prices</w:t>
      </w:r>
    </w:p>
    <w:p w14:paraId="286709E9" w14:textId="77777777" w:rsidR="007E145C" w:rsidRDefault="00612C24">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14:paraId="286709EA" w14:textId="77777777" w:rsidR="007E145C" w:rsidRDefault="00612C24">
      <w:pPr>
        <w:keepNext/>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Supplier (and its Sub-Contractor) shall not be entitled to include any uplift for risks or contingencies within its day rates</w:t>
      </w:r>
    </w:p>
    <w:p w14:paraId="286709EB" w14:textId="77777777" w:rsidR="007E145C" w:rsidRDefault="00612C24">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i/>
          <w:color w:val="000000"/>
          <w:sz w:val="24"/>
          <w:szCs w:val="24"/>
        </w:rPr>
        <w:t>The rates below shall [not] be subject to variation by way of Indexation</w:t>
      </w:r>
    </w:p>
    <w:tbl>
      <w:tblPr>
        <w:tblStyle w:val="a"/>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450"/>
        <w:gridCol w:w="4566"/>
      </w:tblGrid>
      <w:tr w:rsidR="007E145C" w14:paraId="286709EE" w14:textId="77777777">
        <w:tc>
          <w:tcPr>
            <w:tcW w:w="4450" w:type="dxa"/>
            <w:shd w:val="clear" w:color="auto" w:fill="548DD4"/>
          </w:tcPr>
          <w:p w14:paraId="286709EC"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Staff Grade</w:t>
            </w:r>
          </w:p>
        </w:tc>
        <w:tc>
          <w:tcPr>
            <w:tcW w:w="4566" w:type="dxa"/>
            <w:shd w:val="clear" w:color="auto" w:fill="548DD4"/>
          </w:tcPr>
          <w:p w14:paraId="286709ED"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Day Rate (£)</w:t>
            </w:r>
          </w:p>
        </w:tc>
      </w:tr>
      <w:tr w:rsidR="007E145C" w14:paraId="286709F1" w14:textId="77777777">
        <w:tc>
          <w:tcPr>
            <w:tcW w:w="4450" w:type="dxa"/>
          </w:tcPr>
          <w:p w14:paraId="286709EF" w14:textId="77777777" w:rsidR="007E145C" w:rsidRDefault="007E145C">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4566" w:type="dxa"/>
          </w:tcPr>
          <w:p w14:paraId="286709F0" w14:textId="77777777" w:rsidR="007E145C" w:rsidRDefault="007E145C">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7E145C" w14:paraId="286709F4" w14:textId="77777777">
        <w:tc>
          <w:tcPr>
            <w:tcW w:w="4450" w:type="dxa"/>
          </w:tcPr>
          <w:p w14:paraId="286709F2" w14:textId="77777777" w:rsidR="007E145C" w:rsidRDefault="007E145C">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4566" w:type="dxa"/>
          </w:tcPr>
          <w:p w14:paraId="286709F3" w14:textId="77777777" w:rsidR="007E145C" w:rsidRDefault="007E145C">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bl>
    <w:p w14:paraId="286709F5" w14:textId="77777777" w:rsidR="007E145C" w:rsidRDefault="00612C24">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2: Fixed Prices</w:t>
      </w:r>
    </w:p>
    <w:p w14:paraId="286709F6" w14:textId="77777777" w:rsidR="007E145C" w:rsidRDefault="00612C24">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0"/>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7E145C" w14:paraId="286709F9" w14:textId="77777777">
        <w:tc>
          <w:tcPr>
            <w:tcW w:w="4508" w:type="dxa"/>
            <w:shd w:val="clear" w:color="auto" w:fill="548DD4"/>
          </w:tcPr>
          <w:p w14:paraId="286709F7"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Framework Price</w:t>
            </w:r>
          </w:p>
        </w:tc>
        <w:tc>
          <w:tcPr>
            <w:tcW w:w="4508" w:type="dxa"/>
            <w:shd w:val="clear" w:color="auto" w:fill="548DD4"/>
          </w:tcPr>
          <w:p w14:paraId="286709F8"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Fixed Framework Price (£)</w:t>
            </w:r>
          </w:p>
        </w:tc>
      </w:tr>
      <w:tr w:rsidR="007E145C" w14:paraId="286709FC" w14:textId="77777777">
        <w:tc>
          <w:tcPr>
            <w:tcW w:w="4508" w:type="dxa"/>
          </w:tcPr>
          <w:p w14:paraId="286709FA"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M3]</w:t>
            </w:r>
          </w:p>
        </w:tc>
        <w:tc>
          <w:tcPr>
            <w:tcW w:w="4508" w:type="dxa"/>
            <w:shd w:val="clear" w:color="auto" w:fill="FFFFFF"/>
          </w:tcPr>
          <w:p w14:paraId="286709FB" w14:textId="77777777" w:rsidR="007E145C" w:rsidRDefault="007E145C">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r w:rsidR="007E145C" w14:paraId="286709FF" w14:textId="77777777">
        <w:tc>
          <w:tcPr>
            <w:tcW w:w="4508" w:type="dxa"/>
          </w:tcPr>
          <w:p w14:paraId="286709FD"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SC3]</w:t>
            </w:r>
          </w:p>
        </w:tc>
        <w:tc>
          <w:tcPr>
            <w:tcW w:w="4508" w:type="dxa"/>
            <w:shd w:val="clear" w:color="auto" w:fill="FFFFFF"/>
          </w:tcPr>
          <w:p w14:paraId="286709FE" w14:textId="77777777" w:rsidR="007E145C" w:rsidRDefault="007E145C">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r>
    </w:tbl>
    <w:p w14:paraId="28670A00" w14:textId="77777777" w:rsidR="007E145C" w:rsidRDefault="007E145C">
      <w:pPr>
        <w:rPr>
          <w:rFonts w:ascii="Arial" w:eastAsia="Arial" w:hAnsi="Arial" w:cs="Arial"/>
          <w:b/>
          <w:smallCaps/>
          <w:sz w:val="24"/>
          <w:szCs w:val="24"/>
        </w:rPr>
      </w:pPr>
      <w:bookmarkStart w:id="6" w:name="_heading=h.4d34og8" w:colFirst="0" w:colLast="0"/>
      <w:bookmarkEnd w:id="6"/>
    </w:p>
    <w:p w14:paraId="28670A01" w14:textId="77777777" w:rsidR="007E145C" w:rsidRDefault="00612C24">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3: Volume Based Prices</w:t>
      </w:r>
    </w:p>
    <w:p w14:paraId="28670A02" w14:textId="77777777" w:rsidR="007E145C" w:rsidRDefault="00612C24">
      <w:pPr>
        <w:pBdr>
          <w:top w:val="nil"/>
          <w:left w:val="nil"/>
          <w:bottom w:val="nil"/>
          <w:right w:val="nil"/>
          <w:between w:val="nil"/>
        </w:pBdr>
        <w:spacing w:before="240" w:after="120" w:line="240" w:lineRule="auto"/>
        <w:ind w:left="-142"/>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1"/>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54"/>
        <w:gridCol w:w="2254"/>
        <w:gridCol w:w="2254"/>
        <w:gridCol w:w="2254"/>
      </w:tblGrid>
      <w:tr w:rsidR="007E145C" w14:paraId="28670A07" w14:textId="77777777">
        <w:tc>
          <w:tcPr>
            <w:tcW w:w="2254" w:type="dxa"/>
            <w:shd w:val="clear" w:color="auto" w:fill="548DD4"/>
          </w:tcPr>
          <w:p w14:paraId="28670A03"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Framework Price Number</w:t>
            </w:r>
          </w:p>
        </w:tc>
        <w:tc>
          <w:tcPr>
            <w:tcW w:w="2254" w:type="dxa"/>
            <w:shd w:val="clear" w:color="auto" w:fill="548DD4"/>
          </w:tcPr>
          <w:p w14:paraId="28670A04"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Unit</w:t>
            </w:r>
          </w:p>
        </w:tc>
        <w:tc>
          <w:tcPr>
            <w:tcW w:w="2254" w:type="dxa"/>
            <w:shd w:val="clear" w:color="auto" w:fill="548DD4"/>
          </w:tcPr>
          <w:p w14:paraId="28670A05"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Number of units per Service Period</w:t>
            </w:r>
          </w:p>
        </w:tc>
        <w:tc>
          <w:tcPr>
            <w:tcW w:w="2254" w:type="dxa"/>
            <w:shd w:val="clear" w:color="auto" w:fill="548DD4"/>
          </w:tcPr>
          <w:p w14:paraId="28670A06"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Charge per unit (£)</w:t>
            </w:r>
          </w:p>
        </w:tc>
      </w:tr>
      <w:tr w:rsidR="007E145C" w14:paraId="28670A0C" w14:textId="77777777">
        <w:tc>
          <w:tcPr>
            <w:tcW w:w="2254" w:type="dxa"/>
            <w:vMerge w:val="restart"/>
          </w:tcPr>
          <w:p w14:paraId="28670A08"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SC1]</w:t>
            </w:r>
          </w:p>
        </w:tc>
        <w:tc>
          <w:tcPr>
            <w:tcW w:w="2254" w:type="dxa"/>
            <w:vMerge w:val="restart"/>
          </w:tcPr>
          <w:p w14:paraId="28670A09" w14:textId="77777777" w:rsidR="007E145C" w:rsidRDefault="007E145C">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2254" w:type="dxa"/>
          </w:tcPr>
          <w:p w14:paraId="28670A0A"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28670A0B"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w:t>
            </w:r>
          </w:p>
        </w:tc>
      </w:tr>
      <w:tr w:rsidR="007E145C" w14:paraId="28670A11" w14:textId="77777777">
        <w:trPr>
          <w:trHeight w:val="701"/>
        </w:trPr>
        <w:tc>
          <w:tcPr>
            <w:tcW w:w="2254" w:type="dxa"/>
            <w:vMerge/>
          </w:tcPr>
          <w:p w14:paraId="28670A0D" w14:textId="77777777" w:rsidR="007E145C" w:rsidRDefault="007E145C">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vMerge/>
          </w:tcPr>
          <w:p w14:paraId="28670A0E" w14:textId="77777777" w:rsidR="007E145C" w:rsidRDefault="007E145C">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tcPr>
          <w:p w14:paraId="28670A0F"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28670A10"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w:t>
            </w:r>
          </w:p>
        </w:tc>
      </w:tr>
      <w:tr w:rsidR="007E145C" w14:paraId="28670A16" w14:textId="77777777">
        <w:tc>
          <w:tcPr>
            <w:tcW w:w="2254" w:type="dxa"/>
            <w:vMerge w:val="restart"/>
          </w:tcPr>
          <w:p w14:paraId="28670A12"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SC2]</w:t>
            </w:r>
          </w:p>
        </w:tc>
        <w:tc>
          <w:tcPr>
            <w:tcW w:w="2254" w:type="dxa"/>
            <w:vMerge w:val="restart"/>
          </w:tcPr>
          <w:p w14:paraId="28670A13" w14:textId="77777777" w:rsidR="007E145C" w:rsidRDefault="007E145C">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2254" w:type="dxa"/>
          </w:tcPr>
          <w:p w14:paraId="28670A14"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28670A15"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w:t>
            </w:r>
          </w:p>
        </w:tc>
      </w:tr>
      <w:tr w:rsidR="007E145C" w14:paraId="28670A1B" w14:textId="77777777">
        <w:tc>
          <w:tcPr>
            <w:tcW w:w="2254" w:type="dxa"/>
            <w:vMerge/>
          </w:tcPr>
          <w:p w14:paraId="28670A17" w14:textId="77777777" w:rsidR="007E145C" w:rsidRDefault="007E145C">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vMerge/>
          </w:tcPr>
          <w:p w14:paraId="28670A18" w14:textId="77777777" w:rsidR="007E145C" w:rsidRDefault="007E145C">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tcPr>
          <w:p w14:paraId="28670A19"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28670A1A" w14:textId="77777777" w:rsidR="007E145C" w:rsidRDefault="00612C2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                  ]</w:t>
            </w:r>
          </w:p>
        </w:tc>
      </w:tr>
    </w:tbl>
    <w:p w14:paraId="28670A1C" w14:textId="77777777" w:rsidR="007E145C" w:rsidRDefault="007E145C">
      <w:pPr>
        <w:rPr>
          <w:rFonts w:ascii="Arial" w:eastAsia="Arial" w:hAnsi="Arial" w:cs="Arial"/>
          <w:b/>
          <w:sz w:val="24"/>
          <w:szCs w:val="24"/>
        </w:rPr>
      </w:pPr>
    </w:p>
    <w:sectPr w:rsidR="007E145C">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70A2B" w14:textId="77777777" w:rsidR="00000000" w:rsidRDefault="00612C24">
      <w:pPr>
        <w:spacing w:after="0" w:line="240" w:lineRule="auto"/>
      </w:pPr>
      <w:r>
        <w:separator/>
      </w:r>
    </w:p>
  </w:endnote>
  <w:endnote w:type="continuationSeparator" w:id="0">
    <w:p w14:paraId="28670A2D" w14:textId="77777777" w:rsidR="00000000" w:rsidRDefault="00612C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70A1F" w14:textId="6F72B0A1" w:rsidR="007E145C" w:rsidRDefault="00612C2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Pr="00612C24">
      <w:rPr>
        <w:rFonts w:ascii="Arial" w:eastAsia="Arial" w:hAnsi="Arial" w:cs="Arial"/>
        <w:sz w:val="20"/>
        <w:szCs w:val="20"/>
      </w:rPr>
      <w:t>6186 - Fuel Cards VI</w:t>
    </w:r>
    <w:r>
      <w:rPr>
        <w:rFonts w:ascii="Arial" w:eastAsia="Arial" w:hAnsi="Arial" w:cs="Arial"/>
        <w:sz w:val="20"/>
        <w:szCs w:val="20"/>
      </w:rPr>
      <w:tab/>
      <w:t xml:space="preserve">                                     </w:t>
    </w:r>
  </w:p>
  <w:p w14:paraId="28670A20" w14:textId="31FFCE6D" w:rsidR="007E145C" w:rsidRDefault="00612C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8670A21" w14:textId="77777777" w:rsidR="007E145C" w:rsidRDefault="00612C24">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70A24" w14:textId="77777777" w:rsidR="007E145C" w:rsidRDefault="00612C24">
    <w:pPr>
      <w:tabs>
        <w:tab w:val="center" w:pos="4513"/>
        <w:tab w:val="right" w:pos="9026"/>
      </w:tabs>
      <w:spacing w:after="0"/>
    </w:pPr>
    <w:r>
      <w:t>Framework Ref: RM</w:t>
    </w:r>
    <w:r>
      <w:tab/>
      <w:t xml:space="preserve">                                           </w:t>
    </w:r>
  </w:p>
  <w:p w14:paraId="28670A25" w14:textId="77777777" w:rsidR="007E145C" w:rsidRDefault="00612C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28670A26" w14:textId="77777777" w:rsidR="007E145C" w:rsidRDefault="00612C24">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70A27" w14:textId="77777777" w:rsidR="00000000" w:rsidRDefault="00612C24">
      <w:pPr>
        <w:spacing w:after="0" w:line="240" w:lineRule="auto"/>
      </w:pPr>
      <w:r>
        <w:separator/>
      </w:r>
    </w:p>
  </w:footnote>
  <w:footnote w:type="continuationSeparator" w:id="0">
    <w:p w14:paraId="28670A29" w14:textId="77777777" w:rsidR="00000000" w:rsidRDefault="00612C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70A1D" w14:textId="77777777" w:rsidR="007E145C" w:rsidRDefault="00612C2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28670A1E" w14:textId="77777777" w:rsidR="007E145C" w:rsidRDefault="00612C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70A22" w14:textId="77777777" w:rsidR="007E145C" w:rsidRDefault="00612C2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28670A23" w14:textId="77777777" w:rsidR="007E145C" w:rsidRDefault="00612C24">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F75B8"/>
    <w:multiLevelType w:val="multilevel"/>
    <w:tmpl w:val="AE1A8F24"/>
    <w:lvl w:ilvl="0">
      <w:start w:val="1"/>
      <w:numFmt w:val="decimal"/>
      <w:pStyle w:val="GPSL1CLAUSEHEADING"/>
      <w:lvlText w:val="%1."/>
      <w:lvlJc w:val="left"/>
      <w:pPr>
        <w:ind w:left="360" w:hanging="360"/>
      </w:pPr>
      <w:rPr>
        <w:rFonts w:ascii="Arial" w:eastAsia="Arial" w:hAnsi="Arial" w:cs="Arial"/>
        <w:b w:val="0"/>
        <w:smallCaps w:val="0"/>
        <w:strike w:val="0"/>
        <w:color w:val="000000"/>
        <w:sz w:val="24"/>
        <w:szCs w:val="24"/>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D47170B"/>
    <w:multiLevelType w:val="multilevel"/>
    <w:tmpl w:val="6360DD8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45C"/>
    <w:rsid w:val="00612C24"/>
    <w:rsid w:val="007E14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709CE"/>
  <w15:docId w15:val="{098F6DC3-7132-430E-A90E-E46419C7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YrtoXTkOPSKtYMIDow9AOAn9dQ==">AMUW2mUu2w7d66Mg+Rgh/RzY0Dz0dkMXC5853AfPLBS2+9r+LrfdOH+ozjkjzYBAUFpo2uuEH90sMrvpbyadMkR1tK1AiYiUYhMk4NKIZMtZBdettlSQjMkg6FJbZqFnBQHf7GycfYgM+uxN4lhNFgUS1d+9SeiDYvM+LRZ2UCF5ZPv1pf8QncfGBa99Pf3Zo1d7MANiFbZO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497</Words>
  <Characters>2833</Characters>
  <Application>Microsoft Office Word</Application>
  <DocSecurity>0</DocSecurity>
  <Lines>23</Lines>
  <Paragraphs>6</Paragraphs>
  <ScaleCrop>false</ScaleCrop>
  <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Mark Cunliffe</cp:lastModifiedBy>
  <cp:revision>2</cp:revision>
  <dcterms:created xsi:type="dcterms:W3CDTF">2021-05-25T18:49:00Z</dcterms:created>
  <dcterms:modified xsi:type="dcterms:W3CDTF">2021-11-05T14:20:00Z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